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4"/>
        <w:gridCol w:w="160"/>
        <w:gridCol w:w="1335"/>
      </w:tblGrid>
      <w:tr w:rsidR="00301960" w:rsidRPr="00F5151A" w14:paraId="49E26A60" w14:textId="77777777" w:rsidTr="1AAF05C0">
        <w:trPr>
          <w:gridAfter w:val="1"/>
          <w:wAfter w:w="1335" w:type="dxa"/>
          <w:trHeight w:val="31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6FF" w14:textId="1918A16A" w:rsidR="00301960" w:rsidRPr="00F5151A" w:rsidRDefault="00301960" w:rsidP="000B6D69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  <w:bookmarkStart w:id="0" w:name="RANGE!A1:D20"/>
            <w:r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Příloha č. </w:t>
            </w:r>
            <w:r w:rsidR="2BFC9D66"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>2</w:t>
            </w:r>
            <w:r w:rsidR="00BF38FD"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BE293D"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ZD </w:t>
            </w:r>
            <w:r w:rsidR="00E37090"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>–</w:t>
            </w:r>
            <w:r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C75D0B"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>Prohlášení o nabídkové ceně</w:t>
            </w:r>
            <w:bookmarkEnd w:id="0"/>
            <w:r w:rsidR="004702F1">
              <w:rPr>
                <w:rFonts w:ascii="Georgia" w:hAnsi="Georgia" w:cs="Times New Roman"/>
                <w:b/>
                <w:bCs/>
                <w:sz w:val="28"/>
                <w:szCs w:val="28"/>
              </w:rPr>
              <w:t>/</w:t>
            </w:r>
            <w:r w:rsidR="004702F1" w:rsidRPr="00F5151A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4702F1" w:rsidRPr="004702F1">
              <w:rPr>
                <w:rFonts w:ascii="Georgia" w:hAnsi="Georgia" w:cs="Times New Roman"/>
                <w:b/>
                <w:bCs/>
                <w:sz w:val="28"/>
                <w:szCs w:val="28"/>
              </w:rPr>
              <w:t>Annex 2 ZD - Tender price declaration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F31" w14:textId="77777777" w:rsidR="00301960" w:rsidRPr="00F5151A" w:rsidRDefault="00301960" w:rsidP="006A7354">
            <w:pPr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301960" w:rsidRPr="00F5151A" w14:paraId="3F6C8A9E" w14:textId="77777777" w:rsidTr="1AAF05C0">
        <w:trPr>
          <w:trHeight w:val="315"/>
        </w:trPr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AF9" w14:textId="77777777" w:rsidR="00301960" w:rsidRPr="00F5151A" w:rsidRDefault="00301960" w:rsidP="00FB1738">
            <w:pPr>
              <w:rPr>
                <w:rFonts w:ascii="Georgia" w:hAnsi="Georgia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9904309" w14:textId="77777777" w:rsidR="00A629E7" w:rsidRPr="00F5151A" w:rsidRDefault="00A629E7" w:rsidP="00A629E7">
      <w:pPr>
        <w:jc w:val="both"/>
        <w:rPr>
          <w:rFonts w:ascii="Georgia" w:hAnsi="Georgia"/>
          <w:bCs/>
          <w:sz w:val="22"/>
          <w:szCs w:val="22"/>
        </w:rPr>
      </w:pPr>
    </w:p>
    <w:p w14:paraId="6C3829AA" w14:textId="77777777" w:rsidR="004972E8" w:rsidRPr="00F232EE" w:rsidRDefault="004972E8" w:rsidP="004972E8">
      <w:pPr>
        <w:jc w:val="both"/>
        <w:rPr>
          <w:rFonts w:ascii="Georgia" w:hAnsi="Georgia"/>
          <w:b/>
          <w:bCs/>
          <w:sz w:val="22"/>
          <w:szCs w:val="22"/>
        </w:rPr>
      </w:pPr>
      <w:r w:rsidRPr="00F232EE">
        <w:rPr>
          <w:rFonts w:ascii="Georgia" w:hAnsi="Georgia"/>
          <w:b/>
          <w:bCs/>
          <w:sz w:val="22"/>
          <w:szCs w:val="22"/>
        </w:rPr>
        <w:t>Nabídková cena bude zpracována v následující struktuře:</w:t>
      </w:r>
    </w:p>
    <w:p w14:paraId="41A3566B" w14:textId="77777777" w:rsidR="004972E8" w:rsidRPr="00F5151A" w:rsidRDefault="004972E8" w:rsidP="004972E8">
      <w:pPr>
        <w:jc w:val="both"/>
        <w:rPr>
          <w:rFonts w:ascii="Georgia" w:hAnsi="Georgia"/>
          <w:sz w:val="22"/>
          <w:szCs w:val="22"/>
        </w:rPr>
      </w:pPr>
    </w:p>
    <w:tbl>
      <w:tblPr>
        <w:tblW w:w="813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73"/>
        <w:gridCol w:w="1817"/>
        <w:gridCol w:w="1770"/>
      </w:tblGrid>
      <w:tr w:rsidR="00F544DC" w:rsidRPr="00910405" w14:paraId="495B0175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7E410D3B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20A57CEF" w14:textId="64BC4423" w:rsidR="00F544DC" w:rsidRPr="00910405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</w:pPr>
            <w:r w:rsidRPr="00910405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Hodinová sazba </w:t>
            </w:r>
            <w:r w:rsidR="007B053C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07B690E7" w14:textId="77777777" w:rsidR="00F544DC" w:rsidRPr="00910405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</w:pPr>
            <w:r w:rsidRPr="00910405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Počet hodin v kalendářním měsíci 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1E1AA9D" w14:textId="5FB9055B" w:rsidR="00F544DC" w:rsidRPr="00910405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</w:pPr>
            <w:r w:rsidRPr="00910405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 xml:space="preserve">Cena celkem </w:t>
            </w:r>
            <w:r w:rsidR="007B053C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v EUR</w:t>
            </w:r>
          </w:p>
        </w:tc>
      </w:tr>
      <w:tr w:rsidR="00F544DC" w:rsidRPr="001E37F6" w14:paraId="1AF63C4E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4353B6BB" w14:textId="1A423526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Cena 1 kalendářní měsíc PR služeb bez DPH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7D95EA83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7B52A7D6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sz w:val="16"/>
                <w:szCs w:val="16"/>
              </w:rPr>
              <w:t> 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CFDAD83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F544DC" w:rsidRPr="001E37F6" w14:paraId="67D328DB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73743B46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Cena celkem za 1 kalendářní měsíc monitoringu médií dle bodu 4.7 ZD 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4D12DC72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sz w:val="16"/>
                <w:szCs w:val="16"/>
              </w:rPr>
              <w:t> 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79FF088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DDB798E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F544DC" w:rsidRPr="001E37F6" w14:paraId="043AE66C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2AD34588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Celková cena za PR služby za 24 měsíců plnění veřejné zakázky bez DPH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061F426F" w14:textId="4E5EF989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 w:rsidR="00040C33"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78444F7F" w14:textId="2C97DEC7" w:rsidR="00F544DC" w:rsidRPr="001E37F6" w:rsidRDefault="00040C33" w:rsidP="00040C33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  <w:r w:rsidR="00F544DC"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FAABDA9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F544DC" w:rsidRPr="001E37F6" w14:paraId="72D9A5B5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2A6719C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Celková cena za monitoring médií za 24 měsíců plnění veřejné zakázky bez DPH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2661463D" w14:textId="246D09D0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 w:rsidR="00040C33"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7CD06075" w14:textId="061E2ADC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 w:rsidR="00040C33"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1116196" w14:textId="77777777" w:rsidR="00F544DC" w:rsidRPr="001E37F6" w:rsidRDefault="00F544DC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39489E" w:rsidRPr="001E37F6" w14:paraId="14DB8F1C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567D62D7" w14:textId="65A6A60D" w:rsidR="0039489E" w:rsidRPr="0050515E" w:rsidRDefault="0050515E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 xml:space="preserve">Celková cena za PR služby a monitoring médií </w:t>
            </w:r>
            <w:r w:rsidR="00CD1632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za 24 měsíců plnění veřejné zakázky bez DPH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2345C679" w14:textId="453D3BD4" w:rsidR="0039489E" w:rsidRPr="001E37F6" w:rsidRDefault="00CD1632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eorgia" w:hAnsi="Georgia"/>
                <w:sz w:val="16"/>
                <w:szCs w:val="16"/>
              </w:rPr>
            </w:pP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46DBC6CE" w14:textId="592D1E90" w:rsidR="0039489E" w:rsidRPr="001E37F6" w:rsidRDefault="00CD1632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eorgia" w:hAnsi="Georgia"/>
                <w:sz w:val="16"/>
                <w:szCs w:val="16"/>
              </w:rPr>
            </w:pP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66A52C" w14:textId="77777777" w:rsidR="0039489E" w:rsidRPr="001E37F6" w:rsidRDefault="0039489E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eorgia" w:hAnsi="Georgia"/>
                <w:sz w:val="16"/>
                <w:szCs w:val="16"/>
              </w:rPr>
            </w:pPr>
          </w:p>
        </w:tc>
      </w:tr>
    </w:tbl>
    <w:p w14:paraId="00757784" w14:textId="77777777" w:rsidR="00541D87" w:rsidRDefault="00541D87" w:rsidP="00417180">
      <w:pPr>
        <w:rPr>
          <w:rFonts w:ascii="Georgia" w:hAnsi="Georgia" w:cs="Times New Roman"/>
          <w:b/>
          <w:bCs/>
          <w:sz w:val="22"/>
          <w:szCs w:val="22"/>
        </w:rPr>
      </w:pPr>
    </w:p>
    <w:p w14:paraId="21B306CF" w14:textId="75484FCF" w:rsidR="005E5F4F" w:rsidRDefault="00F232EE" w:rsidP="00417180">
      <w:pPr>
        <w:rPr>
          <w:rFonts w:ascii="Georgia" w:hAnsi="Georgia" w:cs="Times New Roman"/>
          <w:b/>
          <w:bCs/>
          <w:sz w:val="22"/>
          <w:szCs w:val="22"/>
        </w:rPr>
      </w:pPr>
      <w:r w:rsidRPr="00F232EE">
        <w:rPr>
          <w:rFonts w:ascii="Georgia" w:hAnsi="Georgia" w:cs="Times New Roman"/>
          <w:b/>
          <w:bCs/>
          <w:sz w:val="22"/>
          <w:szCs w:val="22"/>
        </w:rPr>
        <w:t>The tender price will be structured as follows:</w:t>
      </w:r>
    </w:p>
    <w:tbl>
      <w:tblPr>
        <w:tblW w:w="813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432"/>
        <w:gridCol w:w="1958"/>
        <w:gridCol w:w="1770"/>
      </w:tblGrid>
      <w:tr w:rsidR="00A853ED" w:rsidRPr="00910405" w14:paraId="64710E8E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02017550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0CFE2554" w14:textId="38A9D769" w:rsidR="00A853ED" w:rsidRPr="00910405" w:rsidRDefault="001333AE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H</w:t>
            </w:r>
            <w:r>
              <w:rPr>
                <w:rStyle w:val="normaltextrun"/>
                <w:b/>
                <w:bCs/>
                <w:sz w:val="20"/>
                <w:szCs w:val="20"/>
              </w:rPr>
              <w:t>ourly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rate</w:t>
            </w:r>
            <w:proofErr w:type="spellEnd"/>
            <w:r w:rsidR="00A853ED" w:rsidRPr="00910405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 </w:t>
            </w:r>
            <w:r w:rsidR="007226C2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i</w:t>
            </w:r>
            <w:r w:rsidR="007226C2">
              <w:rPr>
                <w:rStyle w:val="normaltextrun"/>
                <w:b/>
                <w:bCs/>
                <w:sz w:val="20"/>
                <w:szCs w:val="20"/>
              </w:rPr>
              <w:t>n EUR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0CEAC1E4" w14:textId="561C82DB" w:rsidR="00A853ED" w:rsidRPr="00251A42" w:rsidRDefault="00980BBB" w:rsidP="00251A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80BBB"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Number of hours per calendar month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51CFF0B" w14:textId="76BD4404" w:rsidR="00A853ED" w:rsidRPr="00251A42" w:rsidRDefault="00251A42" w:rsidP="00251A42">
            <w:pPr>
              <w:pStyle w:val="StandardWeb"/>
              <w:rPr>
                <w:rStyle w:val="normaltextrun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price</w:t>
            </w:r>
            <w:proofErr w:type="spellEnd"/>
            <w:r w:rsidR="007226C2">
              <w:rPr>
                <w:b/>
                <w:bCs/>
              </w:rPr>
              <w:t xml:space="preserve"> in EUR</w:t>
            </w:r>
          </w:p>
        </w:tc>
      </w:tr>
      <w:tr w:rsidR="00A853ED" w:rsidRPr="001E37F6" w14:paraId="2ADBFD90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048546C" w14:textId="629E8498" w:rsidR="00A853ED" w:rsidRPr="001E37F6" w:rsidRDefault="0088046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88046D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Total price for 1 calendar month of PR services without VAT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51DB9038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F389E24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sz w:val="16"/>
                <w:szCs w:val="16"/>
              </w:rPr>
              <w:t> 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A17B733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A853ED" w:rsidRPr="001E37F6" w14:paraId="48657BCA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549B5594" w14:textId="04EB5411" w:rsidR="00A853ED" w:rsidRPr="001E37F6" w:rsidRDefault="002667A6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2667A6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Total price for 1 calendar month of media monitoring according to point 4.7 ZD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62EE78E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normaltextrun"/>
                <w:sz w:val="16"/>
                <w:szCs w:val="16"/>
              </w:rPr>
              <w:t> </w:t>
            </w: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307615CB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D2ED31B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A853ED" w:rsidRPr="001E37F6" w14:paraId="139C44BD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784ACB12" w14:textId="3B71AFDE" w:rsidR="00A853ED" w:rsidRPr="001E37F6" w:rsidRDefault="002667A6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2667A6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Total price for PR services for 24 months of the public contract performance without VAT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85D77CF" w14:textId="414E5F1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 w:rsidR="00AC7F10"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4CA2D38" w14:textId="76A2D20A" w:rsidR="00A853ED" w:rsidRPr="001E37F6" w:rsidRDefault="00AC7F10" w:rsidP="00AC7F1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  <w:r w:rsidR="00A853ED"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B35A233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A853ED" w:rsidRPr="001E37F6" w14:paraId="1980BC6F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6D05C1B4" w14:textId="7A20D5E0" w:rsidR="00A853ED" w:rsidRPr="001E37F6" w:rsidRDefault="007F7B87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7F7B87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Total price for media monitoring for 24 months of public contract performance without VAT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10E4F554" w14:textId="5F60BDEC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 w:rsidR="00AC7F10"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  <w:hideMark/>
          </w:tcPr>
          <w:p w14:paraId="3AA45063" w14:textId="1D62DCFB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  <w:r w:rsidR="00AC7F10"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CACBAA2" w14:textId="77777777" w:rsidR="00A853ED" w:rsidRPr="001E37F6" w:rsidRDefault="00A853ED" w:rsidP="00144680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16"/>
                <w:szCs w:val="16"/>
              </w:rPr>
            </w:pPr>
            <w:r w:rsidRPr="001E37F6">
              <w:rPr>
                <w:rStyle w:val="eop"/>
                <w:rFonts w:ascii="Georgia" w:hAnsi="Georgia"/>
                <w:sz w:val="16"/>
                <w:szCs w:val="16"/>
              </w:rPr>
              <w:t> </w:t>
            </w:r>
          </w:p>
        </w:tc>
      </w:tr>
      <w:tr w:rsidR="000F2851" w:rsidRPr="001E37F6" w14:paraId="7A9CCE6C" w14:textId="77777777" w:rsidTr="007226C2">
        <w:trPr>
          <w:trHeight w:val="30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508DE132" w14:textId="6962696E" w:rsidR="000F2851" w:rsidRPr="007F7B87" w:rsidRDefault="00FA5F3B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</w:pPr>
            <w:r w:rsidRPr="00FA5F3B">
              <w:rPr>
                <w:rStyle w:val="normaltextrun"/>
                <w:rFonts w:ascii="Georgia" w:hAnsi="Georgia"/>
                <w:b/>
                <w:bCs/>
                <w:sz w:val="16"/>
                <w:szCs w:val="16"/>
              </w:rPr>
              <w:t>Total price for PR services and media monitoring for 24 months of the public contract performance without VAT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6E052197" w14:textId="7F73A0C9" w:rsidR="000F2851" w:rsidRPr="001E37F6" w:rsidRDefault="00FA5F3B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eorgia" w:hAnsi="Georgia"/>
                <w:sz w:val="16"/>
                <w:szCs w:val="16"/>
              </w:rPr>
            </w:pP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55E6834F" w14:textId="11EC3A94" w:rsidR="000F2851" w:rsidRPr="001E37F6" w:rsidRDefault="00FA5F3B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eorgia" w:hAnsi="Georgia"/>
                <w:sz w:val="16"/>
                <w:szCs w:val="16"/>
              </w:rPr>
            </w:pPr>
            <w:r>
              <w:rPr>
                <w:rStyle w:val="eop"/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484572" w14:textId="77777777" w:rsidR="000F2851" w:rsidRPr="001E37F6" w:rsidRDefault="000F2851" w:rsidP="001446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eorgia" w:hAnsi="Georgia"/>
                <w:sz w:val="16"/>
                <w:szCs w:val="16"/>
              </w:rPr>
            </w:pPr>
          </w:p>
        </w:tc>
      </w:tr>
    </w:tbl>
    <w:p w14:paraId="75C199F1" w14:textId="55E74FE7" w:rsidR="00727BE4" w:rsidRPr="00F5151A" w:rsidRDefault="00727BE4" w:rsidP="00417180">
      <w:pPr>
        <w:rPr>
          <w:rFonts w:ascii="Georgia" w:hAnsi="Georgia" w:cs="Times New Roman"/>
          <w:b/>
          <w:bCs/>
          <w:sz w:val="22"/>
          <w:szCs w:val="22"/>
        </w:rPr>
      </w:pPr>
    </w:p>
    <w:p w14:paraId="17F929FB" w14:textId="05FF40DF" w:rsidR="00D24B15" w:rsidRPr="00F5151A" w:rsidRDefault="001B348B" w:rsidP="00B362D7">
      <w:pPr>
        <w:jc w:val="both"/>
        <w:rPr>
          <w:rFonts w:ascii="Georgia" w:hAnsi="Georgia"/>
          <w:i/>
          <w:iCs/>
          <w:sz w:val="22"/>
          <w:szCs w:val="22"/>
        </w:rPr>
      </w:pPr>
      <w:r w:rsidRPr="00F5151A">
        <w:rPr>
          <w:rFonts w:ascii="Georgia" w:hAnsi="Georgia"/>
          <w:i/>
          <w:iCs/>
          <w:sz w:val="22"/>
          <w:szCs w:val="22"/>
        </w:rPr>
        <w:t xml:space="preserve">Poznámka: </w:t>
      </w:r>
    </w:p>
    <w:p w14:paraId="2C68671B" w14:textId="77777777" w:rsidR="00BD33C7" w:rsidRPr="00F5151A" w:rsidRDefault="00BD33C7" w:rsidP="00B362D7">
      <w:pPr>
        <w:jc w:val="both"/>
        <w:rPr>
          <w:rFonts w:ascii="Georgia" w:hAnsi="Georgia"/>
          <w:i/>
          <w:iCs/>
          <w:sz w:val="22"/>
          <w:szCs w:val="22"/>
        </w:rPr>
      </w:pPr>
    </w:p>
    <w:p w14:paraId="7BD2583B" w14:textId="6B0CCFDA" w:rsidR="00320BB5" w:rsidRDefault="004F5095" w:rsidP="00B362D7">
      <w:pPr>
        <w:jc w:val="both"/>
        <w:rPr>
          <w:rFonts w:ascii="Georgia" w:hAnsi="Georgia"/>
          <w:i/>
          <w:iCs/>
          <w:sz w:val="22"/>
          <w:szCs w:val="22"/>
        </w:rPr>
      </w:pPr>
      <w:r w:rsidRPr="00F5151A">
        <w:rPr>
          <w:rFonts w:ascii="Georgia" w:hAnsi="Georgia"/>
          <w:i/>
          <w:iCs/>
          <w:sz w:val="22"/>
          <w:szCs w:val="22"/>
        </w:rPr>
        <w:t>Celková n</w:t>
      </w:r>
      <w:r w:rsidR="00B362D7" w:rsidRPr="00F5151A">
        <w:rPr>
          <w:rFonts w:ascii="Georgia" w:hAnsi="Georgia"/>
          <w:i/>
          <w:iCs/>
          <w:sz w:val="22"/>
          <w:szCs w:val="22"/>
        </w:rPr>
        <w:t xml:space="preserve">abídková cena musí být uvedena jako cena konečná a nejvýše přípustná a bude obsahovat všechny vynaložené náklady související s komplexním zabezpečením plnění předmětu veřejné zakázky. </w:t>
      </w:r>
      <w:r w:rsidR="00465F7F" w:rsidRPr="00F5151A">
        <w:rPr>
          <w:rFonts w:ascii="Georgia" w:hAnsi="Georgia"/>
          <w:i/>
          <w:iCs/>
          <w:sz w:val="22"/>
          <w:szCs w:val="22"/>
        </w:rPr>
        <w:t xml:space="preserve"> </w:t>
      </w:r>
    </w:p>
    <w:p w14:paraId="2FBE8FF3" w14:textId="77777777" w:rsidR="00980BBB" w:rsidRDefault="00980BBB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rFonts w:eastAsia="Times New Roman"/>
          <w:b w:val="0"/>
          <w:i/>
          <w:iCs/>
          <w:sz w:val="22"/>
          <w:szCs w:val="22"/>
          <w:lang w:eastAsia="cs-CZ"/>
        </w:rPr>
      </w:pPr>
      <w:r w:rsidRPr="00980BBB">
        <w:rPr>
          <w:rFonts w:eastAsia="Times New Roman"/>
          <w:b w:val="0"/>
          <w:i/>
          <w:iCs/>
          <w:sz w:val="22"/>
          <w:szCs w:val="22"/>
          <w:lang w:eastAsia="cs-CZ"/>
        </w:rPr>
        <w:t>Remark:</w:t>
      </w:r>
    </w:p>
    <w:p w14:paraId="26305944" w14:textId="658EDA20" w:rsidR="00282B21" w:rsidRDefault="007577A5" w:rsidP="007226C2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rFonts w:eastAsia="Times New Roman"/>
          <w:b w:val="0"/>
          <w:i/>
          <w:iCs/>
          <w:sz w:val="22"/>
          <w:szCs w:val="22"/>
          <w:lang w:eastAsia="cs-CZ"/>
        </w:rPr>
      </w:pPr>
      <w:r w:rsidRPr="007577A5">
        <w:rPr>
          <w:rFonts w:eastAsia="Times New Roman"/>
          <w:b w:val="0"/>
          <w:i/>
          <w:iCs/>
          <w:sz w:val="22"/>
          <w:szCs w:val="22"/>
          <w:lang w:eastAsia="cs-CZ"/>
        </w:rPr>
        <w:t xml:space="preserve">The total tender price must be quoted as the final and maximum allowable price and shall include all costs incurred in connection with the comprehensive provision of the subject </w:t>
      </w:r>
      <w:proofErr w:type="spellStart"/>
      <w:r w:rsidRPr="007577A5">
        <w:rPr>
          <w:rFonts w:eastAsia="Times New Roman"/>
          <w:b w:val="0"/>
          <w:i/>
          <w:iCs/>
          <w:sz w:val="22"/>
          <w:szCs w:val="22"/>
          <w:lang w:eastAsia="cs-CZ"/>
        </w:rPr>
        <w:t>of</w:t>
      </w:r>
      <w:proofErr w:type="spellEnd"/>
      <w:r w:rsidRPr="007577A5">
        <w:rPr>
          <w:rFonts w:eastAsia="Times New Roman"/>
          <w:b w:val="0"/>
          <w:i/>
          <w:iCs/>
          <w:sz w:val="22"/>
          <w:szCs w:val="22"/>
          <w:lang w:eastAsia="cs-CZ"/>
        </w:rPr>
        <w:t xml:space="preserve"> </w:t>
      </w:r>
      <w:proofErr w:type="spellStart"/>
      <w:r w:rsidRPr="007577A5">
        <w:rPr>
          <w:rFonts w:eastAsia="Times New Roman"/>
          <w:b w:val="0"/>
          <w:i/>
          <w:iCs/>
          <w:sz w:val="22"/>
          <w:szCs w:val="22"/>
          <w:lang w:eastAsia="cs-CZ"/>
        </w:rPr>
        <w:t>the</w:t>
      </w:r>
      <w:proofErr w:type="spellEnd"/>
      <w:r w:rsidRPr="007577A5">
        <w:rPr>
          <w:rFonts w:eastAsia="Times New Roman"/>
          <w:b w:val="0"/>
          <w:i/>
          <w:iCs/>
          <w:sz w:val="22"/>
          <w:szCs w:val="22"/>
          <w:lang w:eastAsia="cs-CZ"/>
        </w:rPr>
        <w:t xml:space="preserve"> public </w:t>
      </w:r>
      <w:proofErr w:type="spellStart"/>
      <w:r w:rsidRPr="007577A5">
        <w:rPr>
          <w:rFonts w:eastAsia="Times New Roman"/>
          <w:b w:val="0"/>
          <w:i/>
          <w:iCs/>
          <w:sz w:val="22"/>
          <w:szCs w:val="22"/>
          <w:lang w:eastAsia="cs-CZ"/>
        </w:rPr>
        <w:t>contract</w:t>
      </w:r>
      <w:proofErr w:type="spellEnd"/>
      <w:r w:rsidRPr="007577A5">
        <w:rPr>
          <w:rFonts w:eastAsia="Times New Roman"/>
          <w:b w:val="0"/>
          <w:i/>
          <w:iCs/>
          <w:sz w:val="22"/>
          <w:szCs w:val="22"/>
          <w:lang w:eastAsia="cs-CZ"/>
        </w:rPr>
        <w:t>.</w:t>
      </w:r>
    </w:p>
    <w:p w14:paraId="3452E840" w14:textId="77777777" w:rsidR="007226C2" w:rsidRPr="00F5151A" w:rsidRDefault="007226C2" w:rsidP="007226C2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6D2B50C3" w14:textId="01B18A57" w:rsidR="00282B21" w:rsidRPr="00F5151A" w:rsidRDefault="00282B21" w:rsidP="00282B21">
      <w:pPr>
        <w:tabs>
          <w:tab w:val="left" w:pos="567"/>
        </w:tabs>
        <w:rPr>
          <w:rFonts w:ascii="Georgia" w:hAnsi="Georgia"/>
          <w:sz w:val="22"/>
          <w:szCs w:val="22"/>
        </w:rPr>
      </w:pPr>
      <w:r w:rsidRPr="00F5151A">
        <w:rPr>
          <w:rFonts w:ascii="Georgia" w:hAnsi="Georgia"/>
          <w:sz w:val="22"/>
          <w:szCs w:val="22"/>
        </w:rPr>
        <w:t>V </w:t>
      </w:r>
      <w:r w:rsidRPr="00F5151A">
        <w:rPr>
          <w:rFonts w:ascii="Georgia" w:hAnsi="Georgia"/>
          <w:sz w:val="22"/>
          <w:szCs w:val="22"/>
          <w:highlight w:val="yellow"/>
        </w:rPr>
        <w:t>[bude doplněni dodavatelem]</w:t>
      </w:r>
      <w:r w:rsidRPr="00F5151A">
        <w:rPr>
          <w:rFonts w:ascii="Georgia" w:hAnsi="Georgia"/>
          <w:sz w:val="22"/>
          <w:szCs w:val="22"/>
        </w:rPr>
        <w:t xml:space="preserve"> dne ……………………. 202</w:t>
      </w:r>
      <w:r w:rsidR="00F544DC">
        <w:rPr>
          <w:rFonts w:ascii="Georgia" w:hAnsi="Georgia"/>
          <w:sz w:val="22"/>
          <w:szCs w:val="22"/>
        </w:rPr>
        <w:t>5</w:t>
      </w:r>
    </w:p>
    <w:p w14:paraId="5A538DED" w14:textId="3160D65F" w:rsidR="00282B21" w:rsidRPr="00F5151A" w:rsidRDefault="001F07EB" w:rsidP="00282B21">
      <w:pPr>
        <w:spacing w:before="40"/>
        <w:rPr>
          <w:rFonts w:ascii="Georgia" w:hAnsi="Georgia"/>
          <w:color w:val="008000"/>
          <w:sz w:val="22"/>
          <w:szCs w:val="22"/>
        </w:rPr>
      </w:pPr>
      <w:r w:rsidRPr="001F07EB">
        <w:rPr>
          <w:rFonts w:ascii="Georgia" w:hAnsi="Georgia"/>
          <w:sz w:val="22"/>
          <w:szCs w:val="22"/>
        </w:rPr>
        <w:t>At [to be completed by the supplier] on ......................... 2025</w:t>
      </w:r>
    </w:p>
    <w:p w14:paraId="79822CFE" w14:textId="77777777" w:rsidR="00282B21" w:rsidRPr="00F5151A" w:rsidRDefault="00282B21" w:rsidP="00282B21">
      <w:pPr>
        <w:spacing w:before="40"/>
        <w:rPr>
          <w:rFonts w:ascii="Georgia" w:hAnsi="Georgia"/>
          <w:color w:val="008000"/>
          <w:sz w:val="22"/>
          <w:szCs w:val="22"/>
        </w:rPr>
      </w:pPr>
    </w:p>
    <w:p w14:paraId="3BFDA5DC" w14:textId="78123C60" w:rsidR="00282B21" w:rsidRPr="00F5151A" w:rsidRDefault="00282B21" w:rsidP="006834EF">
      <w:pPr>
        <w:spacing w:before="40"/>
        <w:rPr>
          <w:rFonts w:ascii="Georgia" w:hAnsi="Georgia"/>
          <w:sz w:val="22"/>
          <w:szCs w:val="22"/>
        </w:rPr>
      </w:pPr>
      <w:r w:rsidRPr="00F5151A">
        <w:rPr>
          <w:rFonts w:ascii="Georgia" w:hAnsi="Georgia"/>
          <w:sz w:val="22"/>
          <w:szCs w:val="22"/>
        </w:rPr>
        <w:t>…………………………………………</w:t>
      </w:r>
      <w:r w:rsidR="00CF6891">
        <w:rPr>
          <w:rFonts w:ascii="Georgia" w:hAnsi="Georgia"/>
          <w:sz w:val="22"/>
          <w:szCs w:val="22"/>
        </w:rPr>
        <w:t xml:space="preserve"> </w:t>
      </w:r>
      <w:r w:rsidR="00CF6891">
        <w:rPr>
          <w:rFonts w:ascii="Georgia" w:hAnsi="Georgia"/>
          <w:sz w:val="22"/>
          <w:szCs w:val="22"/>
        </w:rPr>
        <w:tab/>
      </w:r>
      <w:r w:rsidR="00CF6891">
        <w:rPr>
          <w:rFonts w:ascii="Georgia" w:hAnsi="Georgia"/>
          <w:sz w:val="22"/>
          <w:szCs w:val="22"/>
        </w:rPr>
        <w:tab/>
      </w:r>
      <w:r w:rsidR="00940D75">
        <w:rPr>
          <w:rFonts w:ascii="Georgia" w:hAnsi="Georgia"/>
          <w:sz w:val="22"/>
          <w:szCs w:val="22"/>
        </w:rPr>
        <w:tab/>
      </w:r>
      <w:r w:rsidR="00CF6891">
        <w:rPr>
          <w:rFonts w:ascii="Georgia" w:hAnsi="Georgia"/>
          <w:sz w:val="22"/>
          <w:szCs w:val="22"/>
        </w:rPr>
        <w:t>...........................................</w:t>
      </w:r>
    </w:p>
    <w:p w14:paraId="3D20634B" w14:textId="01FF0A4C" w:rsidR="00282B21" w:rsidRPr="00F5151A" w:rsidRDefault="00282B21" w:rsidP="006834EF">
      <w:pPr>
        <w:spacing w:before="40"/>
        <w:rPr>
          <w:rFonts w:ascii="Georgia" w:hAnsi="Georgia"/>
          <w:sz w:val="22"/>
          <w:szCs w:val="22"/>
          <w:highlight w:val="yellow"/>
        </w:rPr>
      </w:pPr>
      <w:r w:rsidRPr="00F5151A">
        <w:rPr>
          <w:rFonts w:ascii="Georgia" w:hAnsi="Georgia"/>
          <w:sz w:val="22"/>
          <w:szCs w:val="22"/>
          <w:highlight w:val="yellow"/>
        </w:rPr>
        <w:t xml:space="preserve">bude doplněno dodavatelem] </w:t>
      </w:r>
      <w:r w:rsidR="00CF6891">
        <w:rPr>
          <w:rFonts w:ascii="Georgia" w:hAnsi="Georgia"/>
          <w:sz w:val="22"/>
          <w:szCs w:val="22"/>
          <w:highlight w:val="yellow"/>
        </w:rPr>
        <w:tab/>
      </w:r>
      <w:r w:rsidR="00940D75">
        <w:rPr>
          <w:rFonts w:ascii="Georgia" w:hAnsi="Georgia"/>
          <w:sz w:val="22"/>
          <w:szCs w:val="22"/>
        </w:rPr>
        <w:tab/>
      </w:r>
      <w:r w:rsidR="00940D75">
        <w:rPr>
          <w:rFonts w:ascii="Georgia" w:hAnsi="Georgia"/>
          <w:sz w:val="22"/>
          <w:szCs w:val="22"/>
        </w:rPr>
        <w:tab/>
      </w:r>
      <w:r w:rsidR="00CF6891" w:rsidRPr="001F07EB">
        <w:rPr>
          <w:rFonts w:ascii="Georgia" w:hAnsi="Georgia"/>
          <w:sz w:val="22"/>
          <w:szCs w:val="22"/>
        </w:rPr>
        <w:t>[to be completed by the supplier]</w:t>
      </w:r>
    </w:p>
    <w:p w14:paraId="1F3BA1E6" w14:textId="3837F5DA" w:rsidR="006A7354" w:rsidRPr="007577A5" w:rsidRDefault="00282B21" w:rsidP="007577A5">
      <w:pPr>
        <w:tabs>
          <w:tab w:val="left" w:pos="4962"/>
        </w:tabs>
        <w:spacing w:before="40"/>
        <w:rPr>
          <w:rFonts w:ascii="Georgia" w:hAnsi="Georgia"/>
          <w:sz w:val="22"/>
          <w:szCs w:val="22"/>
        </w:rPr>
      </w:pPr>
      <w:r w:rsidRPr="00F5151A">
        <w:rPr>
          <w:rFonts w:ascii="Georgia" w:hAnsi="Georgia"/>
          <w:sz w:val="22"/>
          <w:szCs w:val="22"/>
          <w:highlight w:val="yellow"/>
        </w:rPr>
        <w:t>[bude doplněno dodavatelem ]</w:t>
      </w:r>
      <w:r w:rsidR="00940D75">
        <w:rPr>
          <w:rFonts w:ascii="Georgia" w:hAnsi="Georgia"/>
          <w:sz w:val="22"/>
          <w:szCs w:val="22"/>
        </w:rPr>
        <w:tab/>
      </w:r>
      <w:r w:rsidR="00940D75" w:rsidRPr="001F07EB">
        <w:rPr>
          <w:rFonts w:ascii="Georgia" w:hAnsi="Georgia"/>
          <w:sz w:val="22"/>
          <w:szCs w:val="22"/>
        </w:rPr>
        <w:t>[to be completed by the supplier]</w:t>
      </w:r>
    </w:p>
    <w:sectPr w:rsidR="006A7354" w:rsidRPr="007577A5" w:rsidSect="005B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" w15:restartNumberingAfterBreak="0">
    <w:nsid w:val="556F514A"/>
    <w:multiLevelType w:val="hybridMultilevel"/>
    <w:tmpl w:val="6D781BDC"/>
    <w:lvl w:ilvl="0" w:tplc="030AD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7460"/>
    <w:multiLevelType w:val="hybridMultilevel"/>
    <w:tmpl w:val="9D9A8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667E6"/>
    <w:multiLevelType w:val="hybridMultilevel"/>
    <w:tmpl w:val="6D781BDC"/>
    <w:lvl w:ilvl="0" w:tplc="030AD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0040">
    <w:abstractNumId w:val="1"/>
  </w:num>
  <w:num w:numId="2" w16cid:durableId="985472374">
    <w:abstractNumId w:val="4"/>
  </w:num>
  <w:num w:numId="3" w16cid:durableId="2048410042">
    <w:abstractNumId w:val="2"/>
  </w:num>
  <w:num w:numId="4" w16cid:durableId="1421758759">
    <w:abstractNumId w:val="3"/>
  </w:num>
  <w:num w:numId="5" w16cid:durableId="33739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60"/>
    <w:rsid w:val="00001309"/>
    <w:rsid w:val="00040C33"/>
    <w:rsid w:val="0004274C"/>
    <w:rsid w:val="0007257E"/>
    <w:rsid w:val="00095416"/>
    <w:rsid w:val="00096539"/>
    <w:rsid w:val="000B6D69"/>
    <w:rsid w:val="000F2851"/>
    <w:rsid w:val="00102C57"/>
    <w:rsid w:val="0012387C"/>
    <w:rsid w:val="001333AE"/>
    <w:rsid w:val="0017109C"/>
    <w:rsid w:val="00181369"/>
    <w:rsid w:val="001B348B"/>
    <w:rsid w:val="001E5F22"/>
    <w:rsid w:val="001F07EB"/>
    <w:rsid w:val="002028E2"/>
    <w:rsid w:val="00226EAC"/>
    <w:rsid w:val="00251A42"/>
    <w:rsid w:val="002667A6"/>
    <w:rsid w:val="00272D0A"/>
    <w:rsid w:val="00282B21"/>
    <w:rsid w:val="002835F7"/>
    <w:rsid w:val="002A0B98"/>
    <w:rsid w:val="002C4B22"/>
    <w:rsid w:val="002E7290"/>
    <w:rsid w:val="002F6F54"/>
    <w:rsid w:val="00301960"/>
    <w:rsid w:val="00305EBC"/>
    <w:rsid w:val="00320BB5"/>
    <w:rsid w:val="0039489E"/>
    <w:rsid w:val="00394A2E"/>
    <w:rsid w:val="00395E1C"/>
    <w:rsid w:val="003E7A0D"/>
    <w:rsid w:val="003F6E90"/>
    <w:rsid w:val="00404B43"/>
    <w:rsid w:val="0041640C"/>
    <w:rsid w:val="00417180"/>
    <w:rsid w:val="00465F7F"/>
    <w:rsid w:val="004702F1"/>
    <w:rsid w:val="00477B6F"/>
    <w:rsid w:val="00493285"/>
    <w:rsid w:val="00496B23"/>
    <w:rsid w:val="004972E8"/>
    <w:rsid w:val="004A426C"/>
    <w:rsid w:val="004C021D"/>
    <w:rsid w:val="004E6890"/>
    <w:rsid w:val="004F5095"/>
    <w:rsid w:val="0050515E"/>
    <w:rsid w:val="00541D87"/>
    <w:rsid w:val="00561266"/>
    <w:rsid w:val="00572532"/>
    <w:rsid w:val="005B1402"/>
    <w:rsid w:val="005B64F5"/>
    <w:rsid w:val="005E5F4F"/>
    <w:rsid w:val="005F00A9"/>
    <w:rsid w:val="00646587"/>
    <w:rsid w:val="006834EF"/>
    <w:rsid w:val="006A6222"/>
    <w:rsid w:val="006A7354"/>
    <w:rsid w:val="0070771A"/>
    <w:rsid w:val="00721CD5"/>
    <w:rsid w:val="007226C2"/>
    <w:rsid w:val="00724369"/>
    <w:rsid w:val="00727BE4"/>
    <w:rsid w:val="007577A5"/>
    <w:rsid w:val="0077228F"/>
    <w:rsid w:val="00783A51"/>
    <w:rsid w:val="007A7A6D"/>
    <w:rsid w:val="007B053C"/>
    <w:rsid w:val="007C25DE"/>
    <w:rsid w:val="007E0AD1"/>
    <w:rsid w:val="007E1452"/>
    <w:rsid w:val="007F2921"/>
    <w:rsid w:val="007F7B87"/>
    <w:rsid w:val="00823C80"/>
    <w:rsid w:val="00841CEE"/>
    <w:rsid w:val="0088046D"/>
    <w:rsid w:val="00890FCF"/>
    <w:rsid w:val="008B0A79"/>
    <w:rsid w:val="008B3C65"/>
    <w:rsid w:val="008C742D"/>
    <w:rsid w:val="008E4E43"/>
    <w:rsid w:val="00900A58"/>
    <w:rsid w:val="0091369B"/>
    <w:rsid w:val="00940D75"/>
    <w:rsid w:val="00980BBB"/>
    <w:rsid w:val="009C29EF"/>
    <w:rsid w:val="00A21C05"/>
    <w:rsid w:val="00A4705A"/>
    <w:rsid w:val="00A47DCE"/>
    <w:rsid w:val="00A50CE9"/>
    <w:rsid w:val="00A629E7"/>
    <w:rsid w:val="00A853ED"/>
    <w:rsid w:val="00AC7F10"/>
    <w:rsid w:val="00B362D7"/>
    <w:rsid w:val="00B869FC"/>
    <w:rsid w:val="00B90035"/>
    <w:rsid w:val="00B96202"/>
    <w:rsid w:val="00BD33C7"/>
    <w:rsid w:val="00BE293D"/>
    <w:rsid w:val="00BF04F2"/>
    <w:rsid w:val="00BF38FD"/>
    <w:rsid w:val="00C0235C"/>
    <w:rsid w:val="00C32FBD"/>
    <w:rsid w:val="00C61F80"/>
    <w:rsid w:val="00C71F33"/>
    <w:rsid w:val="00C75D0B"/>
    <w:rsid w:val="00C8039C"/>
    <w:rsid w:val="00CB19D4"/>
    <w:rsid w:val="00CB74CA"/>
    <w:rsid w:val="00CD1632"/>
    <w:rsid w:val="00CD4427"/>
    <w:rsid w:val="00CD7A83"/>
    <w:rsid w:val="00CE621E"/>
    <w:rsid w:val="00CF6891"/>
    <w:rsid w:val="00D24B15"/>
    <w:rsid w:val="00D33BB6"/>
    <w:rsid w:val="00D70ED5"/>
    <w:rsid w:val="00DD4C9F"/>
    <w:rsid w:val="00DE2F6A"/>
    <w:rsid w:val="00E06574"/>
    <w:rsid w:val="00E17E24"/>
    <w:rsid w:val="00E21E56"/>
    <w:rsid w:val="00E2699F"/>
    <w:rsid w:val="00E37090"/>
    <w:rsid w:val="00E544AF"/>
    <w:rsid w:val="00E63396"/>
    <w:rsid w:val="00E87CBB"/>
    <w:rsid w:val="00EF2CFD"/>
    <w:rsid w:val="00EF58A3"/>
    <w:rsid w:val="00EF743C"/>
    <w:rsid w:val="00F0029C"/>
    <w:rsid w:val="00F232EE"/>
    <w:rsid w:val="00F5151A"/>
    <w:rsid w:val="00F544DC"/>
    <w:rsid w:val="00F76395"/>
    <w:rsid w:val="00FA5F3B"/>
    <w:rsid w:val="00FB1738"/>
    <w:rsid w:val="00FD4320"/>
    <w:rsid w:val="00FF1BB1"/>
    <w:rsid w:val="1AAF05C0"/>
    <w:rsid w:val="23A3235A"/>
    <w:rsid w:val="2BFC9D66"/>
    <w:rsid w:val="438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46C"/>
  <w15:docId w15:val="{7B70D030-56D6-40A9-8BE8-F1916D0F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0BB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5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5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5F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1960"/>
    <w:pPr>
      <w:ind w:left="720"/>
      <w:contextualSpacing/>
    </w:pPr>
  </w:style>
  <w:style w:type="paragraph" w:customStyle="1" w:styleId="vty">
    <w:name w:val="věty"/>
    <w:basedOn w:val="Standard"/>
    <w:rsid w:val="00572532"/>
    <w:pPr>
      <w:numPr>
        <w:ilvl w:val="1"/>
        <w:numId w:val="3"/>
      </w:numPr>
    </w:pPr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7B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7B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7BE4"/>
    <w:rPr>
      <w:rFonts w:ascii="Arial" w:eastAsia="Times New Roman" w:hAnsi="Arial" w:cs="Arial"/>
      <w:sz w:val="20"/>
      <w:szCs w:val="20"/>
      <w:lang w:eastAsia="cs-CZ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7B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7BE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BE4"/>
    <w:rPr>
      <w:rFonts w:ascii="Tahoma" w:eastAsia="Times New Roman" w:hAnsi="Tahoma" w:cs="Tahoma"/>
      <w:sz w:val="16"/>
      <w:szCs w:val="16"/>
      <w:lang w:eastAsia="cs-CZ"/>
    </w:rPr>
  </w:style>
  <w:style w:type="paragraph" w:styleId="berarbeitung">
    <w:name w:val="Revision"/>
    <w:hidden/>
    <w:uiPriority w:val="99"/>
    <w:semiHidden/>
    <w:rsid w:val="00841CE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eading2CzechTourism">
    <w:name w:val="Heading 2 (Czech Tourism)"/>
    <w:basedOn w:val="berschrift2"/>
    <w:next w:val="Standard"/>
    <w:uiPriority w:val="11"/>
    <w:qFormat/>
    <w:rsid w:val="00465F7F"/>
    <w:pPr>
      <w:keepNext w:val="0"/>
      <w:keepLines w:val="0"/>
      <w:numPr>
        <w:ilvl w:val="1"/>
        <w:numId w:val="5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  <w:lang w:eastAsia="en-US"/>
    </w:rPr>
  </w:style>
  <w:style w:type="paragraph" w:customStyle="1" w:styleId="Heading3CzechTourism">
    <w:name w:val="Heading 3 (Czech Tourism)"/>
    <w:basedOn w:val="berschrift3"/>
    <w:next w:val="Standard"/>
    <w:semiHidden/>
    <w:qFormat/>
    <w:rsid w:val="00465F7F"/>
    <w:pPr>
      <w:keepNext w:val="0"/>
      <w:keepLines w:val="0"/>
      <w:numPr>
        <w:ilvl w:val="2"/>
        <w:numId w:val="5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  <w:lang w:eastAsia="en-US"/>
    </w:rPr>
  </w:style>
  <w:style w:type="paragraph" w:customStyle="1" w:styleId="Heading1CzechTourism">
    <w:name w:val="Heading 1 (Czech Tourism)"/>
    <w:basedOn w:val="berschrift1"/>
    <w:uiPriority w:val="11"/>
    <w:semiHidden/>
    <w:qFormat/>
    <w:rsid w:val="00465F7F"/>
    <w:pPr>
      <w:keepNext w:val="0"/>
      <w:keepLines w:val="0"/>
      <w:numPr>
        <w:numId w:val="5"/>
      </w:numPr>
      <w:tabs>
        <w:tab w:val="clear" w:pos="454"/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left="0" w:firstLine="0"/>
    </w:pPr>
    <w:rPr>
      <w:rFonts w:ascii="Georgia" w:eastAsia="Calibri" w:hAnsi="Georgia" w:cs="Arial"/>
      <w:b/>
      <w:color w:val="auto"/>
      <w:sz w:val="26"/>
      <w:szCs w:val="26"/>
      <w:lang w:eastAsia="en-US"/>
    </w:rPr>
  </w:style>
  <w:style w:type="numbering" w:customStyle="1" w:styleId="Headings-Number">
    <w:name w:val="Headings - Number"/>
    <w:rsid w:val="00465F7F"/>
    <w:pPr>
      <w:numPr>
        <w:numId w:val="5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5F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5F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F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ormaltextrun">
    <w:name w:val="normaltextrun"/>
    <w:basedOn w:val="Absatz-Standardschriftart"/>
    <w:rsid w:val="00F544DC"/>
  </w:style>
  <w:style w:type="character" w:customStyle="1" w:styleId="eop">
    <w:name w:val="eop"/>
    <w:basedOn w:val="Absatz-Standardschriftart"/>
    <w:rsid w:val="00F544DC"/>
  </w:style>
  <w:style w:type="paragraph" w:customStyle="1" w:styleId="paragraph">
    <w:name w:val="paragraph"/>
    <w:basedOn w:val="Standard"/>
    <w:rsid w:val="00F544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tandardWeb">
    <w:name w:val="Normal (Web)"/>
    <w:basedOn w:val="Standard"/>
    <w:uiPriority w:val="99"/>
    <w:unhideWhenUsed/>
    <w:rsid w:val="00251A42"/>
    <w:pPr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8" ma:contentTypeDescription="Vytvoří nový dokument" ma:contentTypeScope="" ma:versionID="1a9b4ac8b3a62bb3c1ab3cc8a934038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cd6bd7be5b8d6319f50f529f674cdeb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ECFDA-F458-44B7-B914-F36E0EDCC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0CB57-341A-457F-B3B2-8A312340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04FE2-6069-46F1-A203-3D91A4AA5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Chaloupková Markéta</cp:lastModifiedBy>
  <cp:revision>3</cp:revision>
  <cp:lastPrinted>2020-06-01T11:18:00Z</cp:lastPrinted>
  <dcterms:created xsi:type="dcterms:W3CDTF">2024-11-28T10:47:00Z</dcterms:created>
  <dcterms:modified xsi:type="dcterms:W3CDTF">2024-11-28T10:48:00Z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